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Ives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Ives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Ives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Ives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Ives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Ives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St Ives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Ives is estimated to be </w:t>
      </w:r>
      <w:r w:rsidRPr="00773DF7">
        <w:rPr>
          <w:rFonts w:ascii="Libre Franklin Light" w:eastAsia="Times New Roman" w:hAnsi="Libre Franklin Light" w:cs="Calibri Light"/>
          <w:b/>
          <w:bCs/>
          <w:color w:val="C45911" w:themeColor="accent2" w:themeShade="BF"/>
        </w:rPr>
        <w:t xml:space="preserve">£949,125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Ives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Ives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Ives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Ives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Iv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Ives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Iv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Ives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Ives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Iv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Ives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Ives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Ives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Ives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Ives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Ives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£949,125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Ives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£319,715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£22,903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£6,442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£572,796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£949,125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Ives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Ives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Ives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Ives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Ives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Ives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Ives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Ives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Ives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Ives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Ives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Ives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B74E443-DB34-42B0-9692-806E1F446FC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